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37093" w14:textId="44E099B1" w:rsidR="00E17DB6" w:rsidRPr="00E725D5" w:rsidRDefault="00000000">
      <w:pPr>
        <w:pStyle w:val="Heading1"/>
        <w:rPr>
          <w:color w:val="auto"/>
          <w:sz w:val="22"/>
          <w:szCs w:val="22"/>
        </w:rPr>
      </w:pPr>
      <w:r w:rsidRPr="00E725D5">
        <w:rPr>
          <w:color w:val="auto"/>
          <w:sz w:val="22"/>
          <w:szCs w:val="22"/>
        </w:rPr>
        <w:t>Responses to the questions in the ED</w:t>
      </w:r>
    </w:p>
    <w:p w14:paraId="24B2A493" w14:textId="77777777" w:rsidR="00E17DB6" w:rsidRPr="00E725D5" w:rsidRDefault="00000000">
      <w:pPr>
        <w:pStyle w:val="Heading2"/>
        <w:rPr>
          <w:color w:val="auto"/>
        </w:rPr>
      </w:pPr>
      <w:r w:rsidRPr="00E725D5">
        <w:rPr>
          <w:color w:val="auto"/>
        </w:rPr>
        <w:t>Question 1: Objective and scope of risk mitigation accounting (Section 7.1)</w:t>
      </w:r>
    </w:p>
    <w:p w14:paraId="317C1459" w14:textId="0AD1A467" w:rsidR="00E17DB6" w:rsidRPr="00E725D5" w:rsidRDefault="00000000">
      <w:pPr>
        <w:spacing w:after="140" w:line="276" w:lineRule="auto"/>
        <w:jc w:val="both"/>
        <w:rPr>
          <w:sz w:val="22"/>
          <w:szCs w:val="22"/>
        </w:rPr>
      </w:pPr>
      <w:r w:rsidRPr="00E725D5">
        <w:rPr>
          <w:sz w:val="22"/>
          <w:szCs w:val="22"/>
        </w:rPr>
        <w:t>We agree with the objective in paragraph 7.1.3, with applying the model voluntarily, and with the formal documentation requirement in paragraph 7.1.7. A voluntary model that cannot be discontinued at will (paragraph 7.5.1) strikes an appropriate balance between flexibility and discipline, and is consistent with Chapter 6.</w:t>
      </w:r>
      <w:r w:rsidR="002C6E9E">
        <w:rPr>
          <w:sz w:val="22"/>
          <w:szCs w:val="22"/>
        </w:rPr>
        <w:t xml:space="preserve"> Further, we have following</w:t>
      </w:r>
      <w:r w:rsidRPr="00E725D5">
        <w:rPr>
          <w:sz w:val="22"/>
          <w:szCs w:val="22"/>
        </w:rPr>
        <w:t xml:space="preserve"> observations:</w:t>
      </w:r>
    </w:p>
    <w:p w14:paraId="00255634"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Risk limits (paragraph 7.1.4(b)).</w:t>
      </w:r>
      <w:r w:rsidRPr="00E725D5">
        <w:rPr>
          <w:sz w:val="22"/>
          <w:szCs w:val="22"/>
        </w:rPr>
        <w:t xml:space="preserve"> Indian NBFCs manage interest rate risk under board-approved asset-liability management policies prescribed by the RBI. These policies typically set limits on interest rate sensitivity gaps by time bucket and on earnings-at-risk. The IASB should confirm that limits of this kind, expressed in terms of repricing gaps rather than against a single “mitigated rate”, satisfy paragraph 7.1.4(b). It should also explain what additional specification, if any, is needed to identify the mitigated rate.</w:t>
      </w:r>
    </w:p>
    <w:p w14:paraId="3368C163" w14:textId="3BD78F91"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Unit of election (paragraph 7.1.5).</w:t>
      </w:r>
      <w:r w:rsidRPr="00E725D5">
        <w:rPr>
          <w:sz w:val="22"/>
          <w:szCs w:val="22"/>
        </w:rPr>
        <w:t xml:space="preserve"> Paragraph 7.1.5 requires an entity that chooses the model to apply “all the requirements in this chapter”. Paragraph 7.1.6 contemplates separately managed subsets of underlying portfolios, for example by mitigated rate. It is unclear whether the election is made for the entity as a whole or can be made for each subset. We </w:t>
      </w:r>
      <w:r w:rsidR="008F5C77" w:rsidRPr="00E725D5">
        <w:rPr>
          <w:sz w:val="22"/>
          <w:szCs w:val="22"/>
        </w:rPr>
        <w:t>suggest</w:t>
      </w:r>
      <w:r w:rsidRPr="00E725D5">
        <w:rPr>
          <w:sz w:val="22"/>
          <w:szCs w:val="22"/>
        </w:rPr>
        <w:t xml:space="preserve"> that the Standard state this explicitly. An election at the subset level would allow entities to phase in adoption, which would be helpful for smaller entities.</w:t>
      </w:r>
    </w:p>
    <w:p w14:paraId="54CFCB28"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Documentation (paragraph 7.1.7).</w:t>
      </w:r>
      <w:r w:rsidRPr="00E725D5">
        <w:rPr>
          <w:sz w:val="22"/>
          <w:szCs w:val="22"/>
        </w:rPr>
        <w:t xml:space="preserve"> The documentation required is extensive. The Standard should permit an entity to meet it by cross-referencing existing board-approved risk management policies and ALM documentation, rather than creating parallel documentation.</w:t>
      </w:r>
    </w:p>
    <w:p w14:paraId="42B19DBD" w14:textId="77777777" w:rsidR="00E17DB6" w:rsidRPr="00E725D5" w:rsidRDefault="00000000">
      <w:pPr>
        <w:pStyle w:val="Heading2"/>
        <w:rPr>
          <w:color w:val="auto"/>
        </w:rPr>
      </w:pPr>
      <w:r w:rsidRPr="00E725D5">
        <w:rPr>
          <w:color w:val="auto"/>
        </w:rPr>
        <w:t>Question 2: Underlying portfolios (paragraphs 7.2.1 to 7.2.4)</w:t>
      </w:r>
    </w:p>
    <w:p w14:paraId="32FD3E31" w14:textId="77777777" w:rsidR="00E17DB6" w:rsidRPr="00E725D5" w:rsidRDefault="00000000">
      <w:pPr>
        <w:spacing w:after="140" w:line="276" w:lineRule="auto"/>
        <w:jc w:val="both"/>
        <w:rPr>
          <w:sz w:val="22"/>
          <w:szCs w:val="22"/>
        </w:rPr>
      </w:pPr>
      <w:r w:rsidRPr="00E725D5">
        <w:rPr>
          <w:sz w:val="22"/>
          <w:szCs w:val="22"/>
        </w:rPr>
        <w:t>We agree that eligibility should be restricted to financial assets at amortised cost or FVOCI, financial liabilities at amortised cost, and qualifying future transactions. We also agree that the same repricing risk should not be mitigated more than once. We particularly welcome paragraph 7.2.3, which permits intra-group instruments in individual and separate financial statements. In India, standalone financial statements carry independent legal and regulatory significance, and group treasury structures are common.</w:t>
      </w:r>
    </w:p>
    <w:p w14:paraId="3847B22C" w14:textId="77777777" w:rsidR="00E17DB6" w:rsidRPr="00E725D5" w:rsidRDefault="00000000">
      <w:pPr>
        <w:spacing w:after="140" w:line="276" w:lineRule="auto"/>
        <w:jc w:val="both"/>
        <w:rPr>
          <w:sz w:val="22"/>
          <w:szCs w:val="22"/>
        </w:rPr>
      </w:pPr>
      <w:r w:rsidRPr="00E725D5">
        <w:rPr>
          <w:sz w:val="22"/>
          <w:szCs w:val="22"/>
        </w:rPr>
        <w:t>We request clarification on the following:</w:t>
      </w:r>
    </w:p>
    <w:p w14:paraId="318B09B1"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Loans sanctioned but not disbursed.</w:t>
      </w:r>
      <w:r w:rsidRPr="00E725D5">
        <w:rPr>
          <w:sz w:val="22"/>
          <w:szCs w:val="22"/>
        </w:rPr>
        <w:t xml:space="preserve"> Paragraph 7.2.4 refers to firm commitments and highly probable forecast transactions. Indian lenders commonly have sanctioned but undisbursed facilities, co-lending arrangements, and disbursement pipelines. Guidance should clarify when such items qualify as firm commitments, and how “highly probable on a portfolio basis” (paragraph B7.2.5) should be evidenced.</w:t>
      </w:r>
    </w:p>
    <w:p w14:paraId="3DFF9E9F"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Assets not derecognised on securitisation.</w:t>
      </w:r>
      <w:r w:rsidRPr="00E725D5">
        <w:rPr>
          <w:sz w:val="22"/>
          <w:szCs w:val="22"/>
        </w:rPr>
        <w:t xml:space="preserve"> Under Ind AS, many Indian pass-through certificate securitisations fail the derecognition criteria. Both the loans and the associated liability to investors therefore remain on the balance sheet. The IASB should confirm how such assets, and the associated liability, are treated in underlying portfolios, particularly where the liability’s cash flows pass through the repricing of the assets.</w:t>
      </w:r>
    </w:p>
    <w:p w14:paraId="12751301"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Credit-impaired assets.</w:t>
      </w:r>
      <w:r w:rsidRPr="00E725D5">
        <w:rPr>
          <w:sz w:val="22"/>
          <w:szCs w:val="22"/>
        </w:rPr>
        <w:t xml:space="preserve"> The repricing behaviour of Stage 3 assets is driven predominantly by credit rather than by interest rates. Guidance should address whether such assets should be excluded from, or remain in, underlying portfolios, and how a </w:t>
      </w:r>
      <w:r w:rsidRPr="00E725D5">
        <w:rPr>
          <w:sz w:val="22"/>
          <w:szCs w:val="22"/>
        </w:rPr>
        <w:lastRenderedPageBreak/>
        <w:t>transfer to Stage 3 interacts with the concept of “unexpected changes” in paragraph 7.4.6.</w:t>
      </w:r>
    </w:p>
    <w:p w14:paraId="3066CDA7" w14:textId="77777777" w:rsidR="00E17DB6" w:rsidRPr="00E725D5" w:rsidRDefault="00000000">
      <w:pPr>
        <w:pStyle w:val="Heading2"/>
        <w:rPr>
          <w:color w:val="auto"/>
        </w:rPr>
      </w:pPr>
      <w:r w:rsidRPr="00E725D5">
        <w:rPr>
          <w:color w:val="auto"/>
        </w:rPr>
        <w:t>Question 3: Determining the net repricing risk exposure (paragraphs 7.2.5 to 7.2.10)</w:t>
      </w:r>
    </w:p>
    <w:p w14:paraId="72EC53A9" w14:textId="77777777" w:rsidR="00E17DB6" w:rsidRPr="00E725D5" w:rsidRDefault="00000000">
      <w:pPr>
        <w:spacing w:after="140" w:line="276" w:lineRule="auto"/>
        <w:jc w:val="both"/>
        <w:rPr>
          <w:sz w:val="22"/>
          <w:szCs w:val="22"/>
        </w:rPr>
      </w:pPr>
      <w:r w:rsidRPr="00E725D5">
        <w:rPr>
          <w:sz w:val="22"/>
          <w:szCs w:val="22"/>
        </w:rPr>
        <w:t>We agree that the net repricing risk exposure should be determined consistently with the entity’s risk management, including the time bands and measures used. We also agree that different measures may be used for different time bands (paragraph B7.2.14).</w:t>
      </w:r>
    </w:p>
    <w:p w14:paraId="6F526BFC" w14:textId="77777777" w:rsidR="00E17DB6" w:rsidRPr="00E725D5" w:rsidRDefault="00000000">
      <w:pPr>
        <w:spacing w:after="140" w:line="276" w:lineRule="auto"/>
        <w:jc w:val="both"/>
        <w:rPr>
          <w:sz w:val="22"/>
          <w:szCs w:val="22"/>
        </w:rPr>
      </w:pPr>
      <w:r w:rsidRPr="00E725D5">
        <w:rPr>
          <w:sz w:val="22"/>
          <w:szCs w:val="22"/>
        </w:rPr>
        <w:t>We raise the following matters:</w:t>
      </w:r>
    </w:p>
    <w:p w14:paraId="48058A79"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Instruments repricing to a benchmark other than the mitigated rate.</w:t>
      </w:r>
      <w:r w:rsidRPr="00E725D5">
        <w:rPr>
          <w:sz w:val="22"/>
          <w:szCs w:val="22"/>
        </w:rPr>
        <w:t xml:space="preserve"> Paragraph 7.2.5 defines the expected repricing date as the earlier of expected settlement or repricing. It does not say how an instrument that reprices to one benchmark, such as the repo rate or an internal MCLR, is treated when the entity’s mitigated rate is a different benchmark, such as MIBOR OIS. It is also unclear whether the instrument is treated as variable-rate relative to the mitigated rate at its reset dates, and whether basis risk is part of repricing risk. In the Indian market this is the rule, not the exception. We ask the IASB to state the principle in the Standard and to add an illustrative example.</w:t>
      </w:r>
    </w:p>
    <w:p w14:paraId="179E1B67"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Reset lags.</w:t>
      </w:r>
      <w:r w:rsidRPr="00E725D5">
        <w:rPr>
          <w:sz w:val="22"/>
          <w:szCs w:val="22"/>
        </w:rPr>
        <w:t xml:space="preserve"> External-benchmark-linked loans in India commonly reset at quarterly or other periodic intervals after a change in the policy rate. Guidance should confirm that such reset lags are reflected in the expected repricing date.</w:t>
      </w:r>
    </w:p>
    <w:p w14:paraId="278DF0EC" w14:textId="6A83443C"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“Reliably measurable” (paragraph 7.2.6).</w:t>
      </w:r>
      <w:r w:rsidRPr="00E725D5">
        <w:rPr>
          <w:sz w:val="22"/>
          <w:szCs w:val="22"/>
        </w:rPr>
        <w:t xml:space="preserve"> The ED gives no guidance on this threshold. In particular, it does not say whether it is met when behavioural assumptions are significant, for example for prepayment of retail housing loans in a falling-rate environment, where balance-transfer activity in India can be substantial. We </w:t>
      </w:r>
      <w:r w:rsidR="008F5C77" w:rsidRPr="00E725D5">
        <w:rPr>
          <w:sz w:val="22"/>
          <w:szCs w:val="22"/>
        </w:rPr>
        <w:t>suggest</w:t>
      </w:r>
      <w:r w:rsidRPr="00E725D5">
        <w:rPr>
          <w:sz w:val="22"/>
          <w:szCs w:val="22"/>
        </w:rPr>
        <w:t xml:space="preserve"> guidance on the evidence expected.</w:t>
      </w:r>
    </w:p>
    <w:p w14:paraId="0B60518C" w14:textId="77777777" w:rsidR="00E17DB6" w:rsidRPr="00E725D5" w:rsidRDefault="00000000">
      <w:pPr>
        <w:pStyle w:val="Heading2"/>
        <w:rPr>
          <w:color w:val="auto"/>
        </w:rPr>
      </w:pPr>
      <w:r w:rsidRPr="00E725D5">
        <w:rPr>
          <w:color w:val="auto"/>
        </w:rPr>
        <w:t>Question 4: Designated derivatives (Section 7.3)</w:t>
      </w:r>
    </w:p>
    <w:p w14:paraId="09252A1A" w14:textId="77777777" w:rsidR="00E17DB6" w:rsidRPr="00E725D5" w:rsidRDefault="00000000">
      <w:pPr>
        <w:spacing w:after="140" w:line="276" w:lineRule="auto"/>
        <w:jc w:val="both"/>
        <w:rPr>
          <w:sz w:val="22"/>
          <w:szCs w:val="22"/>
        </w:rPr>
      </w:pPr>
      <w:r w:rsidRPr="00E725D5">
        <w:rPr>
          <w:sz w:val="22"/>
          <w:szCs w:val="22"/>
        </w:rPr>
        <w:t>We agree that only derivatives with external counterparties should be eligible in consolidated financial statements. We welcome the recognition of intra-group derivatives in individual and separate financial statements (paragraph 7.3.4). We also agree with the exclusion of net written options and with the ability to designate a proportion of a derivative.</w:t>
      </w:r>
    </w:p>
    <w:p w14:paraId="71CCCA6F" w14:textId="77777777" w:rsidR="00E17DB6" w:rsidRPr="00E725D5" w:rsidRDefault="00000000">
      <w:pPr>
        <w:spacing w:after="140" w:line="276" w:lineRule="auto"/>
        <w:jc w:val="both"/>
        <w:rPr>
          <w:sz w:val="22"/>
          <w:szCs w:val="22"/>
        </w:rPr>
      </w:pPr>
      <w:r w:rsidRPr="00E725D5">
        <w:rPr>
          <w:sz w:val="22"/>
          <w:szCs w:val="22"/>
        </w:rPr>
        <w:t>We request clarification on the following:</w:t>
      </w:r>
    </w:p>
    <w:p w14:paraId="587EFDDB"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Cross-currency interest rate swaps.</w:t>
      </w:r>
      <w:r w:rsidRPr="00E725D5">
        <w:rPr>
          <w:sz w:val="22"/>
          <w:szCs w:val="22"/>
        </w:rPr>
        <w:t xml:space="preserve"> Paragraph 7.3.1 limits eligibility to “interest rate derivatives”, and paragraph 7.3.2(b) excludes derivatives whose fair value changes are “dominated by” risks unrelated to the mitigated rate. A cross-currency swap’s fair value is ordinarily dominated by foreign exchange risk. We read the ED as requiring such swaps to be handled through a Chapter 6 hedge whose hedged exposure then enters underlying portfolios (paragraph B7.2.7). The Standard should say so directly, rather than leaving the reader to infer it from the Illustrative Examples. The IASB should also consider whether the interest rate leg of a cross-currency swap could be designated where the currency leg is separately hedged.</w:t>
      </w:r>
    </w:p>
    <w:p w14:paraId="1ADDAC61"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“Dominated by” (paragraph 7.3.2(b)).</w:t>
      </w:r>
      <w:r w:rsidRPr="00E725D5">
        <w:rPr>
          <w:sz w:val="22"/>
          <w:szCs w:val="22"/>
        </w:rPr>
        <w:t xml:space="preserve"> The term is undefined. Its interaction with the credit risk guidance in paragraph 6.4.1(c)(ii) of IFRS 9 should be explained, to promote consistent application.</w:t>
      </w:r>
    </w:p>
    <w:p w14:paraId="452AB558"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Exchange-traded derivatives.</w:t>
      </w:r>
      <w:r w:rsidRPr="00E725D5">
        <w:rPr>
          <w:sz w:val="22"/>
          <w:szCs w:val="22"/>
        </w:rPr>
        <w:t xml:space="preserve"> Indian entities may use exchange-traded interest rate futures referencing government securities, or forward rate agreements. These reference </w:t>
      </w:r>
      <w:r w:rsidRPr="00E725D5">
        <w:rPr>
          <w:sz w:val="22"/>
          <w:szCs w:val="22"/>
        </w:rPr>
        <w:lastRenderedPageBreak/>
        <w:t>sovereign yields rather than the overnight rate that may be the mitigated rate. Guidance on their eligibility would be helpful.</w:t>
      </w:r>
    </w:p>
    <w:p w14:paraId="127BBBFA" w14:textId="77777777" w:rsidR="00E17DB6" w:rsidRPr="00E725D5" w:rsidRDefault="00000000">
      <w:pPr>
        <w:pStyle w:val="Heading2"/>
        <w:rPr>
          <w:color w:val="auto"/>
        </w:rPr>
      </w:pPr>
      <w:r w:rsidRPr="00E725D5">
        <w:rPr>
          <w:color w:val="auto"/>
        </w:rPr>
        <w:t>Question 5: Risk mitigation objective and benchmark derivatives (paragraphs 7.4.1 to 7.4.7)</w:t>
      </w:r>
    </w:p>
    <w:p w14:paraId="2FE7127B" w14:textId="77777777" w:rsidR="00E17DB6" w:rsidRPr="00E725D5" w:rsidRDefault="00000000">
      <w:pPr>
        <w:spacing w:after="140" w:line="276" w:lineRule="auto"/>
        <w:jc w:val="both"/>
        <w:rPr>
          <w:sz w:val="22"/>
          <w:szCs w:val="22"/>
        </w:rPr>
      </w:pPr>
      <w:r w:rsidRPr="00E725D5">
        <w:rPr>
          <w:sz w:val="22"/>
          <w:szCs w:val="22"/>
        </w:rPr>
        <w:t>We agree that the risk mitigation objective should be capped at the net repricing risk exposure in each time band. We also agree that benchmark derivatives should replicate the timing and amount of the objective, and should be adjusted downward when unexpected changes reduce the exposure below the objective.</w:t>
      </w:r>
    </w:p>
    <w:p w14:paraId="4EBCB60D" w14:textId="77777777" w:rsidR="00E17DB6" w:rsidRPr="00E725D5" w:rsidRDefault="00000000">
      <w:pPr>
        <w:spacing w:after="140" w:line="276" w:lineRule="auto"/>
        <w:jc w:val="both"/>
        <w:rPr>
          <w:sz w:val="22"/>
          <w:szCs w:val="22"/>
        </w:rPr>
      </w:pPr>
      <w:r w:rsidRPr="00E725D5">
        <w:rPr>
          <w:sz w:val="22"/>
          <w:szCs w:val="22"/>
        </w:rPr>
        <w:t>Our concerns are as follows:</w:t>
      </w:r>
    </w:p>
    <w:p w14:paraId="38A0E17F"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Expected versus unexpected changes.</w:t>
      </w:r>
      <w:r w:rsidRPr="00E725D5">
        <w:rPr>
          <w:sz w:val="22"/>
          <w:szCs w:val="22"/>
        </w:rPr>
        <w:t xml:space="preserve"> Paragraphs 7.4.6 and 7.4.7 turn on the distinction between “expected” and “unexpected” changes in underlying portfolios, but the ED does not define that distinction. In particular, it is not clear whether recalibrating a behavioural model, for example a revised prepayment assumption, is an unexpected change that requires adjustment of benchmark derivatives, or a new estimate that is applied prospectively through a new objective under paragraph 7.4.4. The accounting outcome differs significantly between the two. Application guidance is needed.</w:t>
      </w:r>
    </w:p>
    <w:p w14:paraId="0EF797A3"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Nature of the objective.</w:t>
      </w:r>
      <w:r w:rsidRPr="00E725D5">
        <w:rPr>
          <w:sz w:val="22"/>
          <w:szCs w:val="22"/>
        </w:rPr>
        <w:t xml:space="preserve"> Appendix A defines the risk mitigation objective as “an absolute amount”. Paragraph B7.4.1, however, contemplates objectives expressed in fair value-based measures such as present value per basis point. The definition should accommodate both (see Part C).</w:t>
      </w:r>
    </w:p>
    <w:p w14:paraId="4B80FB2A" w14:textId="77777777" w:rsidR="00E17DB6" w:rsidRPr="00E725D5" w:rsidRDefault="00000000">
      <w:pPr>
        <w:pStyle w:val="Heading2"/>
        <w:rPr>
          <w:color w:val="auto"/>
        </w:rPr>
      </w:pPr>
      <w:r w:rsidRPr="00E725D5">
        <w:rPr>
          <w:color w:val="auto"/>
        </w:rPr>
        <w:t>Question 6: Recognising and measuring the risk mitigation adjustment (paragraphs 7.4.8 to 7.4.14)</w:t>
      </w:r>
    </w:p>
    <w:p w14:paraId="2E3067E1" w14:textId="77777777" w:rsidR="00E17DB6" w:rsidRPr="00E725D5" w:rsidRDefault="00000000">
      <w:pPr>
        <w:spacing w:after="140" w:line="276" w:lineRule="auto"/>
        <w:jc w:val="both"/>
        <w:rPr>
          <w:sz w:val="22"/>
          <w:szCs w:val="22"/>
        </w:rPr>
      </w:pPr>
      <w:r w:rsidRPr="00E725D5">
        <w:rPr>
          <w:sz w:val="22"/>
          <w:szCs w:val="22"/>
        </w:rPr>
        <w:t>We agree in principle with the lower-of measurement in paragraph 7.4.8. It is conceptually consistent with the lower-of test for cash flow hedges in paragraph 6.5.11 of IFRS 9. We also agree with deferring and releasing the adjustment in line with the repricing differences in underlying portfolios.</w:t>
      </w:r>
    </w:p>
    <w:p w14:paraId="120DF29D" w14:textId="77777777" w:rsidR="00E17DB6" w:rsidRPr="00E725D5" w:rsidRDefault="00000000">
      <w:pPr>
        <w:spacing w:after="140" w:line="276" w:lineRule="auto"/>
        <w:jc w:val="both"/>
        <w:rPr>
          <w:sz w:val="22"/>
          <w:szCs w:val="22"/>
        </w:rPr>
      </w:pPr>
      <w:r w:rsidRPr="00E725D5">
        <w:rPr>
          <w:sz w:val="22"/>
          <w:szCs w:val="22"/>
        </w:rPr>
        <w:t>We have the following concerns:</w:t>
      </w:r>
    </w:p>
    <w:p w14:paraId="3C213CA3"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Opposite signs.</w:t>
      </w:r>
      <w:r w:rsidRPr="00E725D5">
        <w:rPr>
          <w:sz w:val="22"/>
          <w:szCs w:val="22"/>
        </w:rPr>
        <w:t xml:space="preserve"> Paragraph 7.4.8 compares the two amounts “in absolute amounts”. It does not address the case where the cumulative change on the designated derivatives and on the benchmark derivatives have opposite signs. We assume the adjustment would then be nil, but the Standard should say so.</w:t>
      </w:r>
    </w:p>
    <w:p w14:paraId="62201D9E"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Nature of the risk mitigation adjustment.</w:t>
      </w:r>
      <w:r w:rsidRPr="00E725D5">
        <w:rPr>
          <w:sz w:val="22"/>
          <w:szCs w:val="22"/>
        </w:rPr>
        <w:t xml:space="preserve"> The ED presents the adjustment as a separate asset or liability (IFRS 7 paragraph 30E) but does not explain how it relates to the definitions of an asset and a liability in the </w:t>
      </w:r>
      <w:r w:rsidRPr="00E725D5">
        <w:rPr>
          <w:i/>
          <w:iCs/>
          <w:sz w:val="22"/>
          <w:szCs w:val="22"/>
        </w:rPr>
        <w:t>Conceptual Framework</w:t>
      </w:r>
      <w:r w:rsidRPr="00E725D5">
        <w:rPr>
          <w:sz w:val="22"/>
          <w:szCs w:val="22"/>
        </w:rPr>
        <w:t>. A clear articulation in the Basis for Conclusions would support consistent regulatory treatment. For example, prudential regulators may otherwise treat a debit balance as an item to be deducted from regulatory capital.</w:t>
      </w:r>
    </w:p>
    <w:p w14:paraId="051D1F87"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Excess test and non-reversal (paragraphs 7.4.11 to 7.4.14).</w:t>
      </w:r>
      <w:r w:rsidRPr="00E725D5">
        <w:rPr>
          <w:sz w:val="22"/>
          <w:szCs w:val="22"/>
        </w:rPr>
        <w:t xml:space="preserve"> The indicator-based approach is reasonable. However, the prohibition on reversal in paragraph 7.4.14 is asymmetric, and its rationale is only briefly explained. If the IASB retains it, the Basis for Conclusions should explain why reversal is prohibited when the underlying repricing differences subsequently materialise. The IASB should also provide a simplified approach, or illustrative calculations, for entities whose portfolios are less complex.</w:t>
      </w:r>
    </w:p>
    <w:p w14:paraId="494F2B73" w14:textId="77777777" w:rsidR="00E17DB6" w:rsidRPr="00E725D5" w:rsidRDefault="00000000">
      <w:pPr>
        <w:pStyle w:val="Heading2"/>
        <w:rPr>
          <w:color w:val="auto"/>
        </w:rPr>
      </w:pPr>
      <w:r w:rsidRPr="00E725D5">
        <w:rPr>
          <w:color w:val="auto"/>
        </w:rPr>
        <w:lastRenderedPageBreak/>
        <w:t>Question 7: Discontinuation of risk mitigation accounting (Section 7.5)</w:t>
      </w:r>
    </w:p>
    <w:p w14:paraId="7D42B776" w14:textId="77777777" w:rsidR="00E17DB6" w:rsidRPr="00E725D5" w:rsidRDefault="00000000">
      <w:pPr>
        <w:spacing w:after="140" w:line="276" w:lineRule="auto"/>
        <w:jc w:val="both"/>
        <w:rPr>
          <w:sz w:val="22"/>
          <w:szCs w:val="22"/>
        </w:rPr>
      </w:pPr>
      <w:r w:rsidRPr="00E725D5">
        <w:rPr>
          <w:sz w:val="22"/>
          <w:szCs w:val="22"/>
        </w:rPr>
        <w:t>We agree that discontinuation should be prospective and should be triggered only by a change in risk management strategy. We also agree with the proposed treatment of the accumulated adjustment.</w:t>
      </w:r>
    </w:p>
    <w:p w14:paraId="03851E29" w14:textId="77777777" w:rsidR="00E17DB6" w:rsidRPr="00E725D5" w:rsidRDefault="00000000">
      <w:pPr>
        <w:spacing w:after="140" w:line="276" w:lineRule="auto"/>
        <w:jc w:val="both"/>
        <w:rPr>
          <w:sz w:val="22"/>
          <w:szCs w:val="22"/>
        </w:rPr>
      </w:pPr>
      <w:r w:rsidRPr="00E725D5">
        <w:rPr>
          <w:sz w:val="22"/>
          <w:szCs w:val="22"/>
        </w:rPr>
        <w:t>We raise two points:</w:t>
      </w:r>
    </w:p>
    <w:p w14:paraId="24E2BAC7" w14:textId="7A16F1C9"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Benchmark reform.</w:t>
      </w:r>
      <w:r w:rsidRPr="00E725D5">
        <w:rPr>
          <w:sz w:val="22"/>
          <w:szCs w:val="22"/>
        </w:rPr>
        <w:t xml:space="preserve"> Paragraph 7.5.2 identifies a change in the mitigated rate as a change in strategy. A change of benchmark mandated by a regulator or by market reform, as seen during IBOR reform and as may recur for Indian overnight benchmarks, should not force discontinuation. We </w:t>
      </w:r>
      <w:r w:rsidR="008F5C77" w:rsidRPr="00E725D5">
        <w:rPr>
          <w:sz w:val="22"/>
          <w:szCs w:val="22"/>
        </w:rPr>
        <w:t>suggest</w:t>
      </w:r>
      <w:r w:rsidRPr="00E725D5">
        <w:rPr>
          <w:sz w:val="22"/>
          <w:szCs w:val="22"/>
        </w:rPr>
        <w:t xml:space="preserve"> relief equivalent to the IBOR reform Phase 2 amendments, so that a replacement benchmark that is economically equivalent can be substituted without discontinuation.</w:t>
      </w:r>
    </w:p>
    <w:p w14:paraId="29241A65"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Choice of release pattern (paragraph 7.5.3(a)(ii)).</w:t>
      </w:r>
      <w:r w:rsidRPr="00E725D5">
        <w:rPr>
          <w:sz w:val="22"/>
          <w:szCs w:val="22"/>
        </w:rPr>
        <w:t xml:space="preserve"> Permitting “another systematic and rational basis”, including straight-line, alongside the pattern in paragraph 7.4.10 introduces an accounting policy choice that reduces comparability. We suggest the straight-line basis be available only where the pattern in paragraph 7.4.10 is impracticable to determine, consistent with the approach in transition paragraph C2.57.</w:t>
      </w:r>
    </w:p>
    <w:p w14:paraId="69154DB6" w14:textId="77777777" w:rsidR="00E17DB6" w:rsidRPr="00E725D5" w:rsidRDefault="00000000">
      <w:pPr>
        <w:pStyle w:val="Heading2"/>
        <w:rPr>
          <w:color w:val="auto"/>
        </w:rPr>
      </w:pPr>
      <w:r w:rsidRPr="00E725D5">
        <w:rPr>
          <w:color w:val="auto"/>
        </w:rPr>
        <w:t>Question 8: Effective date and withdrawal of IAS 39 (Section C1 of Appendix C to IFRS 9)</w:t>
      </w:r>
    </w:p>
    <w:p w14:paraId="715321B8" w14:textId="77982313" w:rsidR="00E17DB6" w:rsidRPr="00E725D5" w:rsidRDefault="00000000">
      <w:pPr>
        <w:spacing w:after="140" w:line="276" w:lineRule="auto"/>
        <w:jc w:val="both"/>
        <w:rPr>
          <w:sz w:val="22"/>
          <w:szCs w:val="22"/>
        </w:rPr>
      </w:pPr>
      <w:r w:rsidRPr="00E725D5">
        <w:rPr>
          <w:sz w:val="22"/>
          <w:szCs w:val="22"/>
        </w:rPr>
        <w:t xml:space="preserve">We support the withdrawal of IAS 39 once risk mitigation accounting is available. The Ind AS framework has no counterpart to IAS 39, and the option to continue IAS 39 hedge accounting was not carried into Ind AS 109. The withdrawal therefore has no direct effect on Indian standalone or consolidated Ind AS financial statements. We </w:t>
      </w:r>
      <w:r w:rsidR="008F5C77" w:rsidRPr="00E725D5">
        <w:rPr>
          <w:sz w:val="22"/>
          <w:szCs w:val="22"/>
        </w:rPr>
        <w:t>suggest</w:t>
      </w:r>
      <w:r w:rsidRPr="00E725D5">
        <w:rPr>
          <w:sz w:val="22"/>
          <w:szCs w:val="22"/>
        </w:rPr>
        <w:t xml:space="preserve"> that the ASB confirm this against the notified text of Ind AS 109 when converting the final amendments.</w:t>
      </w:r>
    </w:p>
    <w:p w14:paraId="1D41918C" w14:textId="1D8FE1F0" w:rsidR="00E17DB6" w:rsidRPr="00E725D5" w:rsidRDefault="00000000">
      <w:pPr>
        <w:spacing w:after="140" w:line="276" w:lineRule="auto"/>
        <w:jc w:val="both"/>
        <w:rPr>
          <w:sz w:val="22"/>
          <w:szCs w:val="22"/>
        </w:rPr>
      </w:pPr>
      <w:r w:rsidRPr="00E725D5">
        <w:rPr>
          <w:sz w:val="22"/>
          <w:szCs w:val="22"/>
        </w:rPr>
        <w:t xml:space="preserve">For the IASB’s consideration of the withdrawal date, we note an indirect effect. Indian subsidiaries and branches of foreign banking groups that report to their parents under IFRS may be applying the IAS 39 portfolio fair value hedge in group reporting packages. These entities need sufficient lead time to redesign reporting systems. We </w:t>
      </w:r>
      <w:r w:rsidR="008F5C77" w:rsidRPr="00E725D5">
        <w:rPr>
          <w:sz w:val="22"/>
          <w:szCs w:val="22"/>
        </w:rPr>
        <w:t>suggest</w:t>
      </w:r>
      <w:r w:rsidRPr="00E725D5">
        <w:rPr>
          <w:sz w:val="22"/>
          <w:szCs w:val="22"/>
        </w:rPr>
        <w:t xml:space="preserve"> a withdrawal date not earlier than three years after the final amendments are issued.</w:t>
      </w:r>
    </w:p>
    <w:p w14:paraId="77796B84" w14:textId="77777777" w:rsidR="00E17DB6" w:rsidRPr="00E725D5" w:rsidRDefault="00000000">
      <w:pPr>
        <w:pStyle w:val="Heading2"/>
        <w:rPr>
          <w:color w:val="auto"/>
        </w:rPr>
      </w:pPr>
      <w:r w:rsidRPr="00E725D5">
        <w:rPr>
          <w:color w:val="auto"/>
        </w:rPr>
        <w:t>Question 9: Transition (Section C2 of Appendix C to IFRS 9)</w:t>
      </w:r>
    </w:p>
    <w:p w14:paraId="081EA7FC" w14:textId="77777777" w:rsidR="00E17DB6" w:rsidRPr="00E725D5" w:rsidRDefault="00000000">
      <w:pPr>
        <w:spacing w:after="140" w:line="276" w:lineRule="auto"/>
        <w:jc w:val="both"/>
        <w:rPr>
          <w:sz w:val="22"/>
          <w:szCs w:val="22"/>
        </w:rPr>
      </w:pPr>
      <w:r w:rsidRPr="00E725D5">
        <w:rPr>
          <w:sz w:val="22"/>
          <w:szCs w:val="22"/>
        </w:rPr>
        <w:t>We agree with prospective application, with the option to revoke fair value option designations (paragraphs C2.59 and C2.60), with the permitted discontinuation of existing Chapter 6 relationships (paragraph C2.58), and with the relief from IAS 8 quantitative disclosures (paragraph C2.61).</w:t>
      </w:r>
    </w:p>
    <w:p w14:paraId="1B1F19EF" w14:textId="77777777" w:rsidR="00E17DB6" w:rsidRPr="00E725D5" w:rsidRDefault="00000000">
      <w:pPr>
        <w:spacing w:after="140" w:line="276" w:lineRule="auto"/>
        <w:jc w:val="both"/>
        <w:rPr>
          <w:sz w:val="22"/>
          <w:szCs w:val="22"/>
        </w:rPr>
      </w:pPr>
      <w:r w:rsidRPr="00E725D5">
        <w:rPr>
          <w:sz w:val="22"/>
          <w:szCs w:val="22"/>
        </w:rPr>
        <w:t>We raise two points specific to the Indian context:</w:t>
      </w:r>
    </w:p>
    <w:p w14:paraId="13329FD2"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First-time adopters.</w:t>
      </w:r>
      <w:r w:rsidRPr="00E725D5">
        <w:rPr>
          <w:sz w:val="22"/>
          <w:szCs w:val="22"/>
        </w:rPr>
        <w:t xml:space="preserve"> Indian banks are expected to move to Ind AS at a future date. The ASB should ensure that Ind AS 101 allows a first-time adopter to apply risk mitigation accounting prospectively from its date of transition, with documentation completed at that date. This should include an exception comparable to the hedge accounting exception in Appendix B of Ind AS 101.</w:t>
      </w:r>
    </w:p>
    <w:p w14:paraId="182A0565"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Cross-references.</w:t>
      </w:r>
      <w:r w:rsidRPr="00E725D5">
        <w:rPr>
          <w:sz w:val="22"/>
          <w:szCs w:val="22"/>
        </w:rPr>
        <w:t xml:space="preserve"> Paragraph C2.61 refers to IAS 8 under its IFRS 18-revised title and to IFRS 19. In India, “Ind AS 19” is the numbering for employee benefits, and the Indian equivalents of the revised IAS 8 and of IFRS 19 may not be in force when the amendments are converted. Conforming changes will be required (see Part C).</w:t>
      </w:r>
    </w:p>
    <w:p w14:paraId="1F1DBFD2" w14:textId="77777777" w:rsidR="00E17DB6" w:rsidRPr="00E725D5" w:rsidRDefault="00000000">
      <w:pPr>
        <w:pStyle w:val="Heading2"/>
        <w:rPr>
          <w:color w:val="auto"/>
        </w:rPr>
      </w:pPr>
      <w:r w:rsidRPr="00E725D5">
        <w:rPr>
          <w:color w:val="auto"/>
        </w:rPr>
        <w:lastRenderedPageBreak/>
        <w:t>Question 10: Disclosure requirements (proposed amendments to IFRS 7)</w:t>
      </w:r>
    </w:p>
    <w:p w14:paraId="5354A3BE" w14:textId="77777777" w:rsidR="00E17DB6" w:rsidRPr="00E725D5" w:rsidRDefault="00000000">
      <w:pPr>
        <w:spacing w:after="140" w:line="276" w:lineRule="auto"/>
        <w:jc w:val="both"/>
        <w:rPr>
          <w:sz w:val="22"/>
          <w:szCs w:val="22"/>
        </w:rPr>
      </w:pPr>
      <w:r w:rsidRPr="00E725D5">
        <w:rPr>
          <w:sz w:val="22"/>
          <w:szCs w:val="22"/>
        </w:rPr>
        <w:t>We broadly agree with paragraphs 30D to 30P. The objectives-based structure in paragraph 30F, the separate presentation in paragraph 30E and the reconciliation in paragraph 30O will give users decision-useful information.</w:t>
      </w:r>
    </w:p>
    <w:p w14:paraId="711AA2A9" w14:textId="77777777" w:rsidR="00E17DB6" w:rsidRPr="00E725D5" w:rsidRDefault="00000000">
      <w:pPr>
        <w:spacing w:after="140" w:line="276" w:lineRule="auto"/>
        <w:jc w:val="both"/>
        <w:rPr>
          <w:sz w:val="22"/>
          <w:szCs w:val="22"/>
        </w:rPr>
      </w:pPr>
      <w:r w:rsidRPr="00E725D5">
        <w:rPr>
          <w:sz w:val="22"/>
          <w:szCs w:val="22"/>
        </w:rPr>
        <w:t>We have the following observations:</w:t>
      </w:r>
    </w:p>
    <w:p w14:paraId="25DF2A27"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Overlap with existing disclosures.</w:t>
      </w:r>
      <w:r w:rsidRPr="00E725D5">
        <w:rPr>
          <w:sz w:val="22"/>
          <w:szCs w:val="22"/>
        </w:rPr>
        <w:t xml:space="preserve"> The sensitivity analysis in paragraph 30K overlaps with the market risk sensitivity required by paragraph 40 of IFRS 7. The IASB should state that a single integrated disclosure satisfies both.</w:t>
      </w:r>
    </w:p>
    <w:p w14:paraId="7D60DE46"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Commercial sensitivity.</w:t>
      </w:r>
      <w:r w:rsidRPr="00E725D5">
        <w:rPr>
          <w:sz w:val="22"/>
          <w:szCs w:val="22"/>
        </w:rPr>
        <w:t xml:space="preserve"> The average fixed rate of designated derivatives (paragraph 30J(b)), combined with the maturity profile, may reveal pricing and hedging positions of smaller entities with concentrated books. Aggregation guidance would address this.</w:t>
      </w:r>
    </w:p>
    <w:p w14:paraId="083C27E8" w14:textId="77777777" w:rsidR="00E17DB6" w:rsidRPr="00E725D5" w:rsidRDefault="00000000">
      <w:pPr>
        <w:pStyle w:val="ListParagraph"/>
        <w:numPr>
          <w:ilvl w:val="0"/>
          <w:numId w:val="3"/>
        </w:numPr>
        <w:spacing w:after="100" w:line="276" w:lineRule="auto"/>
        <w:jc w:val="both"/>
        <w:rPr>
          <w:sz w:val="22"/>
          <w:szCs w:val="22"/>
        </w:rPr>
      </w:pPr>
      <w:r w:rsidRPr="00E725D5">
        <w:rPr>
          <w:b/>
          <w:bCs/>
          <w:sz w:val="22"/>
          <w:szCs w:val="22"/>
        </w:rPr>
        <w:t>Paragraph 33A: we disagree.</w:t>
      </w:r>
      <w:r w:rsidRPr="00E725D5">
        <w:rPr>
          <w:sz w:val="22"/>
          <w:szCs w:val="22"/>
        </w:rPr>
        <w:t xml:space="preserve"> A disclosure obligation for entities that choose not to apply the model depends on a judgement about whether the paragraph 7.1.4 characteristics are met. That judgement has no other accounting consequence, which makes it difficult to enforce and audit. Its effective date is also left open (paragraph 44QQ). If users need information about how repricing risk is managed, it should be required of all entities with material interest rate risk, through the existing IFRS 7 risk disclosures (paragraphs 31 to 42), rather than tied to eligibility for a voluntary model.</w:t>
      </w:r>
    </w:p>
    <w:p w14:paraId="06D3A828" w14:textId="77777777" w:rsidR="00E17DB6" w:rsidRPr="00E725D5" w:rsidRDefault="00000000">
      <w:pPr>
        <w:pStyle w:val="Heading2"/>
        <w:rPr>
          <w:color w:val="auto"/>
        </w:rPr>
      </w:pPr>
      <w:r w:rsidRPr="00E725D5">
        <w:rPr>
          <w:color w:val="auto"/>
        </w:rPr>
        <w:t>Question 11: Risk management strategy (entities that issue insurance contracts)</w:t>
      </w:r>
    </w:p>
    <w:p w14:paraId="00E6B4D7" w14:textId="22DB35AA" w:rsidR="00E17DB6" w:rsidRPr="00E725D5" w:rsidRDefault="00000000">
      <w:pPr>
        <w:spacing w:after="140" w:line="276" w:lineRule="auto"/>
        <w:jc w:val="both"/>
        <w:rPr>
          <w:sz w:val="22"/>
          <w:szCs w:val="22"/>
        </w:rPr>
      </w:pPr>
      <w:r w:rsidRPr="00E725D5">
        <w:rPr>
          <w:sz w:val="22"/>
          <w:szCs w:val="22"/>
        </w:rPr>
        <w:t>We offer the following observations for the ASB’s consideration:</w:t>
      </w:r>
    </w:p>
    <w:p w14:paraId="2DB45953" w14:textId="77777777" w:rsidR="00E17DB6" w:rsidRPr="00E725D5" w:rsidRDefault="00000000">
      <w:pPr>
        <w:pStyle w:val="ListParagraph"/>
        <w:numPr>
          <w:ilvl w:val="0"/>
          <w:numId w:val="3"/>
        </w:numPr>
        <w:spacing w:after="100" w:line="276" w:lineRule="auto"/>
        <w:jc w:val="both"/>
        <w:rPr>
          <w:sz w:val="22"/>
          <w:szCs w:val="22"/>
        </w:rPr>
      </w:pPr>
      <w:r w:rsidRPr="00E725D5">
        <w:rPr>
          <w:sz w:val="22"/>
          <w:szCs w:val="22"/>
        </w:rPr>
        <w:t>Indian insurers are yet to transition to Ind AS. Any feedback from the Indian insurance sector will therefore be forward-looking.</w:t>
      </w:r>
    </w:p>
    <w:p w14:paraId="7AD387FC" w14:textId="77777777" w:rsidR="00E17DB6" w:rsidRPr="00E725D5" w:rsidRDefault="00000000">
      <w:pPr>
        <w:pStyle w:val="ListParagraph"/>
        <w:numPr>
          <w:ilvl w:val="0"/>
          <w:numId w:val="3"/>
        </w:numPr>
        <w:spacing w:after="100" w:line="276" w:lineRule="auto"/>
        <w:jc w:val="both"/>
        <w:rPr>
          <w:sz w:val="22"/>
          <w:szCs w:val="22"/>
        </w:rPr>
      </w:pPr>
      <w:r w:rsidRPr="00E725D5">
        <w:rPr>
          <w:sz w:val="22"/>
          <w:szCs w:val="22"/>
        </w:rPr>
        <w:t>Indian life insurers write long-duration products with guaranteed returns, and the IRDAI framework permits them to use certain interest rate derivatives, notably forward rate agreements, to hedge reinvestment risk on future premium inflows. This profile resembles repricing risk management on a net basis in some respects. However, the exposures are dominated by reinvestment of forecast inflows rather than by repricing of recognised instruments.</w:t>
      </w:r>
    </w:p>
    <w:p w14:paraId="2014DB27" w14:textId="0463C814" w:rsidR="00E17DB6" w:rsidRPr="00E725D5" w:rsidRDefault="00000000">
      <w:pPr>
        <w:pStyle w:val="ListParagraph"/>
        <w:numPr>
          <w:ilvl w:val="0"/>
          <w:numId w:val="3"/>
        </w:numPr>
        <w:spacing w:after="100" w:line="276" w:lineRule="auto"/>
        <w:jc w:val="both"/>
        <w:rPr>
          <w:sz w:val="22"/>
          <w:szCs w:val="22"/>
        </w:rPr>
      </w:pPr>
      <w:r w:rsidRPr="00E725D5">
        <w:rPr>
          <w:sz w:val="22"/>
          <w:szCs w:val="22"/>
        </w:rPr>
        <w:t xml:space="preserve">Insurance contract liabilities under IFRS 17 are measured using current discount rates, with an option to present the effect of changes in the income statement or in OCI. This already addresses part of the accounting mismatch the ED targets. We </w:t>
      </w:r>
      <w:r w:rsidR="008F5C77" w:rsidRPr="00E725D5">
        <w:rPr>
          <w:sz w:val="22"/>
          <w:szCs w:val="22"/>
        </w:rPr>
        <w:t>suggest</w:t>
      </w:r>
      <w:r w:rsidRPr="00E725D5">
        <w:rPr>
          <w:sz w:val="22"/>
          <w:szCs w:val="22"/>
        </w:rPr>
        <w:t xml:space="preserve"> that the IASB extend the model to insurers only after analysing this interaction, and that the ASB conduct outreach with Indian insurers and the IRDAI before responding on this question.</w:t>
      </w:r>
    </w:p>
    <w:sectPr w:rsidR="00E17DB6" w:rsidRPr="00E725D5">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03DBB" w14:textId="77777777" w:rsidR="00E4109D" w:rsidRDefault="00E4109D">
      <w:r>
        <w:separator/>
      </w:r>
    </w:p>
  </w:endnote>
  <w:endnote w:type="continuationSeparator" w:id="0">
    <w:p w14:paraId="622B2855" w14:textId="77777777" w:rsidR="00E4109D" w:rsidRDefault="00E4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AA38B" w14:textId="77777777" w:rsidR="00E4109D" w:rsidRDefault="00E4109D">
      <w:r>
        <w:separator/>
      </w:r>
    </w:p>
  </w:footnote>
  <w:footnote w:type="continuationSeparator" w:id="0">
    <w:p w14:paraId="602BFFC7" w14:textId="77777777" w:rsidR="00E4109D" w:rsidRDefault="00E410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911F3"/>
    <w:multiLevelType w:val="hybridMultilevel"/>
    <w:tmpl w:val="B658D46C"/>
    <w:lvl w:ilvl="0" w:tplc="C3564E6C">
      <w:start w:val="1"/>
      <w:numFmt w:val="decimal"/>
      <w:lvlText w:val="%1."/>
      <w:lvlJc w:val="left"/>
      <w:pPr>
        <w:ind w:left="540" w:hanging="360"/>
      </w:pPr>
    </w:lvl>
    <w:lvl w:ilvl="1" w:tplc="13FAB526">
      <w:numFmt w:val="decimal"/>
      <w:lvlText w:val=""/>
      <w:lvlJc w:val="left"/>
    </w:lvl>
    <w:lvl w:ilvl="2" w:tplc="2376AB24">
      <w:numFmt w:val="decimal"/>
      <w:lvlText w:val=""/>
      <w:lvlJc w:val="left"/>
    </w:lvl>
    <w:lvl w:ilvl="3" w:tplc="16DAFD9C">
      <w:numFmt w:val="decimal"/>
      <w:lvlText w:val=""/>
      <w:lvlJc w:val="left"/>
    </w:lvl>
    <w:lvl w:ilvl="4" w:tplc="F6A253F2">
      <w:numFmt w:val="decimal"/>
      <w:lvlText w:val=""/>
      <w:lvlJc w:val="left"/>
    </w:lvl>
    <w:lvl w:ilvl="5" w:tplc="D88CEC0A">
      <w:numFmt w:val="decimal"/>
      <w:lvlText w:val=""/>
      <w:lvlJc w:val="left"/>
    </w:lvl>
    <w:lvl w:ilvl="6" w:tplc="D00609FE">
      <w:numFmt w:val="decimal"/>
      <w:lvlText w:val=""/>
      <w:lvlJc w:val="left"/>
    </w:lvl>
    <w:lvl w:ilvl="7" w:tplc="AF3E5FBC">
      <w:numFmt w:val="decimal"/>
      <w:lvlText w:val=""/>
      <w:lvlJc w:val="left"/>
    </w:lvl>
    <w:lvl w:ilvl="8" w:tplc="30AC94B8">
      <w:numFmt w:val="decimal"/>
      <w:lvlText w:val=""/>
      <w:lvlJc w:val="left"/>
    </w:lvl>
  </w:abstractNum>
  <w:abstractNum w:abstractNumId="1" w15:restartNumberingAfterBreak="0">
    <w:nsid w:val="454815E1"/>
    <w:multiLevelType w:val="hybridMultilevel"/>
    <w:tmpl w:val="35463746"/>
    <w:lvl w:ilvl="0" w:tplc="DBA2827E">
      <w:start w:val="1"/>
      <w:numFmt w:val="decimal"/>
      <w:lvlText w:val="%1."/>
      <w:lvlJc w:val="left"/>
      <w:pPr>
        <w:ind w:left="540" w:hanging="360"/>
      </w:pPr>
    </w:lvl>
    <w:lvl w:ilvl="1" w:tplc="A086C632">
      <w:numFmt w:val="decimal"/>
      <w:lvlText w:val=""/>
      <w:lvlJc w:val="left"/>
    </w:lvl>
    <w:lvl w:ilvl="2" w:tplc="EC065B42">
      <w:numFmt w:val="decimal"/>
      <w:lvlText w:val=""/>
      <w:lvlJc w:val="left"/>
    </w:lvl>
    <w:lvl w:ilvl="3" w:tplc="8C647D12">
      <w:numFmt w:val="decimal"/>
      <w:lvlText w:val=""/>
      <w:lvlJc w:val="left"/>
    </w:lvl>
    <w:lvl w:ilvl="4" w:tplc="8CD2CC6E">
      <w:numFmt w:val="decimal"/>
      <w:lvlText w:val=""/>
      <w:lvlJc w:val="left"/>
    </w:lvl>
    <w:lvl w:ilvl="5" w:tplc="17EAEDE8">
      <w:numFmt w:val="decimal"/>
      <w:lvlText w:val=""/>
      <w:lvlJc w:val="left"/>
    </w:lvl>
    <w:lvl w:ilvl="6" w:tplc="65C6CEB2">
      <w:numFmt w:val="decimal"/>
      <w:lvlText w:val=""/>
      <w:lvlJc w:val="left"/>
    </w:lvl>
    <w:lvl w:ilvl="7" w:tplc="39362CB2">
      <w:numFmt w:val="decimal"/>
      <w:lvlText w:val=""/>
      <w:lvlJc w:val="left"/>
    </w:lvl>
    <w:lvl w:ilvl="8" w:tplc="01A42AF0">
      <w:numFmt w:val="decimal"/>
      <w:lvlText w:val=""/>
      <w:lvlJc w:val="left"/>
    </w:lvl>
  </w:abstractNum>
  <w:abstractNum w:abstractNumId="2" w15:restartNumberingAfterBreak="0">
    <w:nsid w:val="7A2B2518"/>
    <w:multiLevelType w:val="hybridMultilevel"/>
    <w:tmpl w:val="1EBA0FC0"/>
    <w:lvl w:ilvl="0" w:tplc="9926BE5E">
      <w:start w:val="1"/>
      <w:numFmt w:val="bullet"/>
      <w:lvlText w:val="●"/>
      <w:lvlJc w:val="left"/>
      <w:pPr>
        <w:ind w:left="720" w:hanging="360"/>
      </w:pPr>
    </w:lvl>
    <w:lvl w:ilvl="1" w:tplc="B058ACDC">
      <w:start w:val="1"/>
      <w:numFmt w:val="bullet"/>
      <w:lvlText w:val="○"/>
      <w:lvlJc w:val="left"/>
      <w:pPr>
        <w:ind w:left="1440" w:hanging="360"/>
      </w:pPr>
    </w:lvl>
    <w:lvl w:ilvl="2" w:tplc="02163FEA">
      <w:start w:val="1"/>
      <w:numFmt w:val="bullet"/>
      <w:lvlText w:val="■"/>
      <w:lvlJc w:val="left"/>
      <w:pPr>
        <w:ind w:left="2160" w:hanging="360"/>
      </w:pPr>
    </w:lvl>
    <w:lvl w:ilvl="3" w:tplc="88AC9C1E">
      <w:start w:val="1"/>
      <w:numFmt w:val="bullet"/>
      <w:lvlText w:val="●"/>
      <w:lvlJc w:val="left"/>
      <w:pPr>
        <w:ind w:left="2880" w:hanging="360"/>
      </w:pPr>
    </w:lvl>
    <w:lvl w:ilvl="4" w:tplc="A126B9E0">
      <w:start w:val="1"/>
      <w:numFmt w:val="bullet"/>
      <w:lvlText w:val="○"/>
      <w:lvlJc w:val="left"/>
      <w:pPr>
        <w:ind w:left="3600" w:hanging="360"/>
      </w:pPr>
    </w:lvl>
    <w:lvl w:ilvl="5" w:tplc="7D441FA2">
      <w:start w:val="1"/>
      <w:numFmt w:val="bullet"/>
      <w:lvlText w:val="■"/>
      <w:lvlJc w:val="left"/>
      <w:pPr>
        <w:ind w:left="4320" w:hanging="360"/>
      </w:pPr>
    </w:lvl>
    <w:lvl w:ilvl="6" w:tplc="F2869510">
      <w:start w:val="1"/>
      <w:numFmt w:val="bullet"/>
      <w:lvlText w:val="●"/>
      <w:lvlJc w:val="left"/>
      <w:pPr>
        <w:ind w:left="5040" w:hanging="360"/>
      </w:pPr>
    </w:lvl>
    <w:lvl w:ilvl="7" w:tplc="F2F06296">
      <w:start w:val="1"/>
      <w:numFmt w:val="bullet"/>
      <w:lvlText w:val="●"/>
      <w:lvlJc w:val="left"/>
      <w:pPr>
        <w:ind w:left="5760" w:hanging="360"/>
      </w:pPr>
    </w:lvl>
    <w:lvl w:ilvl="8" w:tplc="90823C92">
      <w:start w:val="1"/>
      <w:numFmt w:val="bullet"/>
      <w:lvlText w:val="●"/>
      <w:lvlJc w:val="left"/>
      <w:pPr>
        <w:ind w:left="6480" w:hanging="360"/>
      </w:pPr>
    </w:lvl>
  </w:abstractNum>
  <w:abstractNum w:abstractNumId="3" w15:restartNumberingAfterBreak="0">
    <w:nsid w:val="7ED6286C"/>
    <w:multiLevelType w:val="hybridMultilevel"/>
    <w:tmpl w:val="D9BA5276"/>
    <w:lvl w:ilvl="0" w:tplc="DD72FBB2">
      <w:start w:val="1"/>
      <w:numFmt w:val="bullet"/>
      <w:lvlText w:val="•"/>
      <w:lvlJc w:val="left"/>
      <w:pPr>
        <w:ind w:left="540" w:hanging="300"/>
      </w:pPr>
    </w:lvl>
    <w:lvl w:ilvl="1" w:tplc="9F588F5C">
      <w:numFmt w:val="decimal"/>
      <w:lvlText w:val=""/>
      <w:lvlJc w:val="left"/>
    </w:lvl>
    <w:lvl w:ilvl="2" w:tplc="31D0407E">
      <w:numFmt w:val="decimal"/>
      <w:lvlText w:val=""/>
      <w:lvlJc w:val="left"/>
    </w:lvl>
    <w:lvl w:ilvl="3" w:tplc="A852EE0E">
      <w:numFmt w:val="decimal"/>
      <w:lvlText w:val=""/>
      <w:lvlJc w:val="left"/>
    </w:lvl>
    <w:lvl w:ilvl="4" w:tplc="412483A4">
      <w:numFmt w:val="decimal"/>
      <w:lvlText w:val=""/>
      <w:lvlJc w:val="left"/>
    </w:lvl>
    <w:lvl w:ilvl="5" w:tplc="A5A8AE12">
      <w:numFmt w:val="decimal"/>
      <w:lvlText w:val=""/>
      <w:lvlJc w:val="left"/>
    </w:lvl>
    <w:lvl w:ilvl="6" w:tplc="63D67090">
      <w:numFmt w:val="decimal"/>
      <w:lvlText w:val=""/>
      <w:lvlJc w:val="left"/>
    </w:lvl>
    <w:lvl w:ilvl="7" w:tplc="D8AE21D4">
      <w:numFmt w:val="decimal"/>
      <w:lvlText w:val=""/>
      <w:lvlJc w:val="left"/>
    </w:lvl>
    <w:lvl w:ilvl="8" w:tplc="0804BC1A">
      <w:numFmt w:val="decimal"/>
      <w:lvlText w:val=""/>
      <w:lvlJc w:val="left"/>
    </w:lvl>
  </w:abstractNum>
  <w:num w:numId="1" w16cid:durableId="1511218859">
    <w:abstractNumId w:val="2"/>
    <w:lvlOverride w:ilvl="0">
      <w:startOverride w:val="1"/>
    </w:lvlOverride>
  </w:num>
  <w:num w:numId="2" w16cid:durableId="541866236">
    <w:abstractNumId w:val="0"/>
    <w:lvlOverride w:ilvl="0">
      <w:startOverride w:val="1"/>
    </w:lvlOverride>
  </w:num>
  <w:num w:numId="3" w16cid:durableId="1020861995">
    <w:abstractNumId w:val="3"/>
    <w:lvlOverride w:ilvl="0">
      <w:startOverride w:val="1"/>
    </w:lvlOverride>
  </w:num>
  <w:num w:numId="4" w16cid:durableId="52710752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DB6"/>
    <w:rsid w:val="002C6E9E"/>
    <w:rsid w:val="008F5C77"/>
    <w:rsid w:val="00E17DB6"/>
    <w:rsid w:val="00E4109D"/>
    <w:rsid w:val="00E725D5"/>
    <w:rsid w:val="00FA6C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0872"/>
  <w15:docId w15:val="{E16387AE-2E9D-447D-8377-9B728C297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6"/>
      <w:szCs w:val="26"/>
    </w:rPr>
  </w:style>
  <w:style w:type="paragraph" w:styleId="Heading2">
    <w:name w:val="heading 2"/>
    <w:uiPriority w:val="9"/>
    <w:unhideWhenUsed/>
    <w:qFormat/>
    <w:pPr>
      <w:keepNext/>
      <w:spacing w:before="220" w:after="120"/>
      <w:outlineLvl w:val="1"/>
    </w:pPr>
    <w:rPr>
      <w:b/>
      <w:bCs/>
      <w:color w:val="2E5597"/>
      <w:sz w:val="22"/>
      <w:szCs w:val="22"/>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25D5"/>
    <w:pPr>
      <w:tabs>
        <w:tab w:val="center" w:pos="4513"/>
        <w:tab w:val="right" w:pos="9026"/>
      </w:tabs>
    </w:pPr>
  </w:style>
  <w:style w:type="character" w:customStyle="1" w:styleId="HeaderChar">
    <w:name w:val="Header Char"/>
    <w:basedOn w:val="DefaultParagraphFont"/>
    <w:link w:val="Header"/>
    <w:uiPriority w:val="99"/>
    <w:rsid w:val="00E725D5"/>
  </w:style>
  <w:style w:type="paragraph" w:styleId="Footer">
    <w:name w:val="footer"/>
    <w:basedOn w:val="Normal"/>
    <w:link w:val="FooterChar"/>
    <w:uiPriority w:val="99"/>
    <w:unhideWhenUsed/>
    <w:rsid w:val="00E725D5"/>
    <w:pPr>
      <w:tabs>
        <w:tab w:val="center" w:pos="4513"/>
        <w:tab w:val="right" w:pos="9026"/>
      </w:tabs>
    </w:pPr>
  </w:style>
  <w:style w:type="character" w:customStyle="1" w:styleId="FooterChar">
    <w:name w:val="Footer Char"/>
    <w:basedOn w:val="DefaultParagraphFont"/>
    <w:link w:val="Footer"/>
    <w:uiPriority w:val="99"/>
    <w:rsid w:val="00E72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2349</Words>
  <Characters>13390</Characters>
  <Application>Microsoft Office Word</Application>
  <DocSecurity>0</DocSecurity>
  <Lines>111</Lines>
  <Paragraphs>31</Paragraphs>
  <ScaleCrop>false</ScaleCrop>
  <Company/>
  <LinksUpToDate>false</LinksUpToDate>
  <CharactersWithSpaces>15708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Comments on IASB/ED/2025/1 Risk Mitigation Accounting</dc:title>
  <dc:creator>SRB &amp; Associates</dc:creator>
  <cp:lastModifiedBy>BISWORANJAN SUTAR</cp:lastModifiedBy>
  <cp:revision>4</cp:revision>
  <dcterms:created xsi:type="dcterms:W3CDTF">2026-09-29T06:33:00Z</dcterms:created>
  <dcterms:modified xsi:type="dcterms:W3CDTF">2026-09-29T06:43:00Z</dcterms:modified>
</cp:coreProperties>
</file>